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4FAA" w14:textId="319A7510" w:rsidR="00EC17C6" w:rsidRPr="005A5953" w:rsidRDefault="00EC17C6" w:rsidP="00EC17C6">
      <w:pPr>
        <w:pBdr>
          <w:top w:val="doubleWave" w:sz="6" w:space="6" w:color="auto"/>
          <w:bottom w:val="doubleWave" w:sz="6" w:space="6" w:color="auto"/>
        </w:pBdr>
        <w:spacing w:after="0"/>
        <w:jc w:val="center"/>
        <w:rPr>
          <w:rFonts w:ascii="Bradley Hand ITC" w:hAnsi="Bradley Hand ITC"/>
          <w:b/>
          <w:bCs/>
          <w:sz w:val="56"/>
          <w:szCs w:val="56"/>
        </w:rPr>
      </w:pPr>
      <w:r w:rsidRPr="005A5953">
        <w:rPr>
          <w:rFonts w:ascii="Bradley Hand ITC" w:hAnsi="Bradley Hand ITC"/>
          <w:b/>
          <w:bCs/>
          <w:sz w:val="56"/>
          <w:szCs w:val="56"/>
        </w:rPr>
        <w:t xml:space="preserve">Sablés </w:t>
      </w:r>
      <w:r w:rsidR="00C4275C">
        <w:rPr>
          <w:rFonts w:ascii="Bradley Hand ITC" w:hAnsi="Bradley Hand ITC"/>
          <w:b/>
          <w:bCs/>
          <w:sz w:val="56"/>
          <w:szCs w:val="56"/>
        </w:rPr>
        <w:t xml:space="preserve">aux </w:t>
      </w:r>
      <w:r w:rsidR="00413AC2">
        <w:rPr>
          <w:rFonts w:ascii="Bradley Hand ITC" w:hAnsi="Bradley Hand ITC"/>
          <w:b/>
          <w:bCs/>
          <w:sz w:val="56"/>
          <w:szCs w:val="56"/>
        </w:rPr>
        <w:t>trois graines</w:t>
      </w:r>
    </w:p>
    <w:p w14:paraId="7821FB2B" w14:textId="4C5938B7" w:rsidR="00EC17C6" w:rsidRDefault="00EC17C6" w:rsidP="00EC17C6">
      <w:pPr>
        <w:spacing w:after="0"/>
        <w:jc w:val="both"/>
        <w:rPr>
          <w:rFonts w:ascii="Bradley Hand ITC" w:hAnsi="Bradley Hand ITC"/>
          <w:sz w:val="36"/>
          <w:szCs w:val="36"/>
        </w:rPr>
      </w:pPr>
    </w:p>
    <w:p w14:paraId="4AAD90FA" w14:textId="6572C4FB" w:rsidR="00EC17C6" w:rsidRPr="00EC17C6" w:rsidRDefault="00BA555F" w:rsidP="00EC17C6">
      <w:pPr>
        <w:spacing w:after="0"/>
        <w:jc w:val="both"/>
        <w:rPr>
          <w:rFonts w:ascii="Bradley Hand ITC" w:hAnsi="Bradley Hand ITC"/>
          <w:sz w:val="36"/>
          <w:szCs w:val="36"/>
        </w:rPr>
      </w:pPr>
      <w:r>
        <w:rPr>
          <w:rFonts w:ascii="Bradley Hand ITC" w:hAnsi="Bradley Hand ITC"/>
          <w:noProof/>
          <w:sz w:val="36"/>
          <w:szCs w:val="36"/>
        </w:rPr>
        <w:drawing>
          <wp:inline distT="0" distB="0" distL="0" distR="0" wp14:anchorId="3038B358" wp14:editId="169ECEDD">
            <wp:extent cx="5762625" cy="46291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629150"/>
                    </a:xfrm>
                    <a:prstGeom prst="rect">
                      <a:avLst/>
                    </a:prstGeom>
                    <a:noFill/>
                    <a:ln>
                      <a:noFill/>
                    </a:ln>
                  </pic:spPr>
                </pic:pic>
              </a:graphicData>
            </a:graphic>
          </wp:inline>
        </w:drawing>
      </w:r>
    </w:p>
    <w:p w14:paraId="0829B218" w14:textId="77777777" w:rsidR="005A5953" w:rsidRDefault="005A5953" w:rsidP="00EC17C6">
      <w:pPr>
        <w:spacing w:after="0"/>
        <w:jc w:val="center"/>
        <w:rPr>
          <w:rFonts w:ascii="Bradley Hand ITC" w:hAnsi="Bradley Hand ITC"/>
          <w:b/>
          <w:bCs/>
          <w:sz w:val="36"/>
          <w:szCs w:val="36"/>
          <w:u w:val="single"/>
        </w:rPr>
      </w:pPr>
    </w:p>
    <w:p w14:paraId="7F9F9BB6" w14:textId="64436294" w:rsidR="00EC17C6" w:rsidRPr="005A5953" w:rsidRDefault="00EC17C6" w:rsidP="00EC17C6">
      <w:pPr>
        <w:spacing w:after="0"/>
        <w:jc w:val="center"/>
        <w:rPr>
          <w:rFonts w:ascii="Bradley Hand ITC" w:hAnsi="Bradley Hand ITC"/>
          <w:b/>
          <w:bCs/>
          <w:sz w:val="36"/>
          <w:szCs w:val="36"/>
          <w:u w:val="single"/>
        </w:rPr>
      </w:pPr>
      <w:r w:rsidRPr="005A5953">
        <w:rPr>
          <w:rFonts w:ascii="Bradley Hand ITC" w:hAnsi="Bradley Hand ITC"/>
          <w:b/>
          <w:bCs/>
          <w:sz w:val="36"/>
          <w:szCs w:val="36"/>
          <w:u w:val="single"/>
        </w:rPr>
        <w:t>Ingrédients</w:t>
      </w:r>
    </w:p>
    <w:p w14:paraId="2DDC1500" w14:textId="77777777" w:rsidR="00460CA8" w:rsidRDefault="00460CA8" w:rsidP="00460CA8">
      <w:pPr>
        <w:pStyle w:val="Paragraphedeliste"/>
        <w:spacing w:after="0"/>
        <w:ind w:left="426"/>
        <w:jc w:val="both"/>
        <w:rPr>
          <w:rFonts w:cstheme="minorHAnsi"/>
          <w:sz w:val="28"/>
          <w:szCs w:val="28"/>
        </w:rPr>
      </w:pPr>
    </w:p>
    <w:p w14:paraId="42B1B133" w14:textId="5ABD5E6B"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250 g de farine T80</w:t>
      </w:r>
    </w:p>
    <w:p w14:paraId="16833D11"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1 sachet de poudre à lever</w:t>
      </w:r>
    </w:p>
    <w:p w14:paraId="49C9C18F"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1 pincée de sel</w:t>
      </w:r>
      <w:bookmarkStart w:id="0" w:name="_GoBack"/>
      <w:bookmarkEnd w:id="0"/>
    </w:p>
    <w:p w14:paraId="717B4F1E" w14:textId="7FEB1FDA"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1</w:t>
      </w:r>
      <w:r>
        <w:rPr>
          <w:rFonts w:cstheme="minorHAnsi"/>
          <w:sz w:val="28"/>
          <w:szCs w:val="28"/>
        </w:rPr>
        <w:t>0</w:t>
      </w:r>
      <w:r w:rsidRPr="00460CA8">
        <w:rPr>
          <w:rFonts w:cstheme="minorHAnsi"/>
          <w:sz w:val="28"/>
          <w:szCs w:val="28"/>
        </w:rPr>
        <w:t>0 g de sucre de canne blond</w:t>
      </w:r>
    </w:p>
    <w:p w14:paraId="1C2DAF6C"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30 g de graines de tournesol</w:t>
      </w:r>
    </w:p>
    <w:p w14:paraId="292F79B2"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30 g de sésame</w:t>
      </w:r>
    </w:p>
    <w:p w14:paraId="7E7C86BB"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30 g de pavot</w:t>
      </w:r>
    </w:p>
    <w:p w14:paraId="4A25C227"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150 g de beurre doux ramolli</w:t>
      </w:r>
    </w:p>
    <w:p w14:paraId="0C3A44E1" w14:textId="77777777" w:rsidR="00460CA8" w:rsidRPr="00460CA8"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2 cuillères de purée d'amande (optionnel)</w:t>
      </w:r>
    </w:p>
    <w:p w14:paraId="686F789F" w14:textId="5830947D" w:rsidR="00460CA8" w:rsidRPr="0074120C" w:rsidRDefault="00460CA8" w:rsidP="00460CA8">
      <w:pPr>
        <w:pStyle w:val="Paragraphedeliste"/>
        <w:numPr>
          <w:ilvl w:val="0"/>
          <w:numId w:val="1"/>
        </w:numPr>
        <w:spacing w:after="0"/>
        <w:ind w:left="426" w:hanging="426"/>
        <w:jc w:val="both"/>
        <w:rPr>
          <w:rFonts w:cstheme="minorHAnsi"/>
          <w:sz w:val="28"/>
          <w:szCs w:val="28"/>
        </w:rPr>
      </w:pPr>
      <w:r w:rsidRPr="00460CA8">
        <w:rPr>
          <w:rFonts w:cstheme="minorHAnsi"/>
          <w:sz w:val="28"/>
          <w:szCs w:val="28"/>
        </w:rPr>
        <w:t xml:space="preserve">1 </w:t>
      </w:r>
      <w:r w:rsidRPr="00460CA8">
        <w:rPr>
          <w:rFonts w:cstheme="minorHAnsi"/>
          <w:sz w:val="28"/>
          <w:szCs w:val="28"/>
        </w:rPr>
        <w:t>œuf</w:t>
      </w:r>
    </w:p>
    <w:p w14:paraId="64E3307A" w14:textId="5919A4D6" w:rsidR="0074120C" w:rsidRDefault="0074120C" w:rsidP="0074120C">
      <w:pPr>
        <w:pStyle w:val="Paragraphedeliste"/>
        <w:spacing w:after="0"/>
        <w:ind w:left="426"/>
        <w:jc w:val="both"/>
        <w:rPr>
          <w:rFonts w:cstheme="minorHAnsi"/>
          <w:sz w:val="28"/>
          <w:szCs w:val="28"/>
        </w:rPr>
      </w:pPr>
    </w:p>
    <w:p w14:paraId="47D5965C" w14:textId="77777777" w:rsidR="00460CA8" w:rsidRPr="0074120C" w:rsidRDefault="00460CA8" w:rsidP="0074120C">
      <w:pPr>
        <w:pStyle w:val="Paragraphedeliste"/>
        <w:spacing w:after="0"/>
        <w:ind w:left="426"/>
        <w:jc w:val="both"/>
        <w:rPr>
          <w:rFonts w:cstheme="minorHAnsi"/>
          <w:sz w:val="28"/>
          <w:szCs w:val="28"/>
        </w:rPr>
      </w:pPr>
    </w:p>
    <w:p w14:paraId="6CA37E2A" w14:textId="77777777" w:rsidR="00EC17C6" w:rsidRPr="00EC17C6" w:rsidRDefault="00EC17C6" w:rsidP="00EC17C6">
      <w:pPr>
        <w:spacing w:after="0"/>
        <w:jc w:val="both"/>
        <w:rPr>
          <w:rFonts w:ascii="Bradley Hand ITC" w:hAnsi="Bradley Hand ITC"/>
          <w:sz w:val="36"/>
          <w:szCs w:val="36"/>
        </w:rPr>
      </w:pPr>
    </w:p>
    <w:p w14:paraId="572C0924" w14:textId="77777777" w:rsidR="00EC17C6" w:rsidRPr="005A5953" w:rsidRDefault="00EC17C6" w:rsidP="00EC17C6">
      <w:pPr>
        <w:spacing w:after="0"/>
        <w:jc w:val="center"/>
        <w:rPr>
          <w:rFonts w:ascii="Bradley Hand ITC" w:hAnsi="Bradley Hand ITC"/>
          <w:b/>
          <w:bCs/>
          <w:sz w:val="36"/>
          <w:szCs w:val="36"/>
          <w:u w:val="single"/>
        </w:rPr>
      </w:pPr>
      <w:r w:rsidRPr="005A5953">
        <w:rPr>
          <w:rFonts w:ascii="Bradley Hand ITC" w:hAnsi="Bradley Hand ITC"/>
          <w:b/>
          <w:bCs/>
          <w:sz w:val="36"/>
          <w:szCs w:val="36"/>
          <w:u w:val="single"/>
        </w:rPr>
        <w:t>Préparation</w:t>
      </w:r>
    </w:p>
    <w:p w14:paraId="4F679BE5" w14:textId="7AAC8595" w:rsidR="00EC17C6" w:rsidRDefault="00EC17C6" w:rsidP="00EC17C6">
      <w:pPr>
        <w:spacing w:after="0"/>
        <w:jc w:val="both"/>
        <w:rPr>
          <w:rFonts w:cstheme="minorHAnsi"/>
          <w:sz w:val="32"/>
          <w:szCs w:val="32"/>
        </w:rPr>
      </w:pPr>
    </w:p>
    <w:p w14:paraId="209C4656" w14:textId="77777777" w:rsidR="00FC20F4" w:rsidRP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A l'aide d'un robot muni d'un pétrin ou à la main dans un grand saladier, mélangez progressivement tous les ingrédients dans l'ordre indiqué ci-dessus en mélangeant bien entre chaque ingrédient.</w:t>
      </w:r>
    </w:p>
    <w:p w14:paraId="79634EC3" w14:textId="77777777" w:rsidR="00FC20F4" w:rsidRP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Une fois tous les ingrédients mélangés vous devez obtenir une boule bien compacte et homogène un peu friable mais d'aspect lisse lorsque plaquée sur les bords du saladier. Préchauffez votre four à 150°C en chaleur tournante.</w:t>
      </w:r>
    </w:p>
    <w:p w14:paraId="71D189A5" w14:textId="1ACF5064" w:rsidR="00FC20F4" w:rsidRP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 xml:space="preserve">Faites </w:t>
      </w:r>
      <w:r w:rsidR="00327590">
        <w:rPr>
          <w:rFonts w:cstheme="minorHAnsi"/>
          <w:sz w:val="28"/>
          <w:szCs w:val="28"/>
        </w:rPr>
        <w:t>des petit</w:t>
      </w:r>
      <w:r w:rsidR="001971DD">
        <w:rPr>
          <w:rFonts w:cstheme="minorHAnsi"/>
          <w:sz w:val="28"/>
          <w:szCs w:val="28"/>
        </w:rPr>
        <w:t>e</w:t>
      </w:r>
      <w:r w:rsidR="00327590">
        <w:rPr>
          <w:rFonts w:cstheme="minorHAnsi"/>
          <w:sz w:val="28"/>
          <w:szCs w:val="28"/>
        </w:rPr>
        <w:t xml:space="preserve">s </w:t>
      </w:r>
      <w:r w:rsidR="00CE6263">
        <w:rPr>
          <w:rFonts w:cstheme="minorHAnsi"/>
          <w:sz w:val="28"/>
          <w:szCs w:val="28"/>
        </w:rPr>
        <w:t>boules</w:t>
      </w:r>
      <w:r w:rsidR="001971DD">
        <w:rPr>
          <w:rFonts w:cstheme="minorHAnsi"/>
          <w:sz w:val="28"/>
          <w:szCs w:val="28"/>
        </w:rPr>
        <w:t xml:space="preserve"> de pâtes au creux de </w:t>
      </w:r>
      <w:r w:rsidR="00A37CFE">
        <w:rPr>
          <w:rFonts w:cstheme="minorHAnsi"/>
          <w:sz w:val="28"/>
          <w:szCs w:val="28"/>
        </w:rPr>
        <w:t>vos mains</w:t>
      </w:r>
      <w:r w:rsidR="00CE6263">
        <w:rPr>
          <w:rFonts w:cstheme="minorHAnsi"/>
          <w:sz w:val="28"/>
          <w:szCs w:val="28"/>
        </w:rPr>
        <w:t xml:space="preserve"> et les écraser dans la main pour obtenir </w:t>
      </w:r>
      <w:r w:rsidR="001971DD">
        <w:rPr>
          <w:rFonts w:cstheme="minorHAnsi"/>
          <w:sz w:val="28"/>
          <w:szCs w:val="28"/>
        </w:rPr>
        <w:t>un gâteau</w:t>
      </w:r>
      <w:r w:rsidRPr="00FC20F4">
        <w:rPr>
          <w:rFonts w:cstheme="minorHAnsi"/>
          <w:sz w:val="28"/>
          <w:szCs w:val="28"/>
        </w:rPr>
        <w:t xml:space="preserve"> d'un diamètre de </w:t>
      </w:r>
      <w:r w:rsidR="009C7B4F">
        <w:rPr>
          <w:rFonts w:cstheme="minorHAnsi"/>
          <w:sz w:val="28"/>
          <w:szCs w:val="28"/>
        </w:rPr>
        <w:t>4</w:t>
      </w:r>
      <w:r w:rsidR="00CE6263">
        <w:rPr>
          <w:rFonts w:cstheme="minorHAnsi"/>
          <w:sz w:val="28"/>
          <w:szCs w:val="28"/>
        </w:rPr>
        <w:t xml:space="preserve"> </w:t>
      </w:r>
      <w:r w:rsidRPr="00FC20F4">
        <w:rPr>
          <w:rFonts w:cstheme="minorHAnsi"/>
          <w:sz w:val="28"/>
          <w:szCs w:val="28"/>
        </w:rPr>
        <w:t xml:space="preserve">cm </w:t>
      </w:r>
      <w:r w:rsidR="009C7B4F">
        <w:rPr>
          <w:rFonts w:cstheme="minorHAnsi"/>
          <w:sz w:val="28"/>
          <w:szCs w:val="28"/>
        </w:rPr>
        <w:t>environ</w:t>
      </w:r>
      <w:r w:rsidR="001971DD">
        <w:rPr>
          <w:rFonts w:cstheme="minorHAnsi"/>
          <w:sz w:val="28"/>
          <w:szCs w:val="28"/>
        </w:rPr>
        <w:t xml:space="preserve"> et de </w:t>
      </w:r>
      <w:r w:rsidR="00FD012E">
        <w:rPr>
          <w:rFonts w:cstheme="minorHAnsi"/>
          <w:sz w:val="28"/>
          <w:szCs w:val="28"/>
        </w:rPr>
        <w:t>5</w:t>
      </w:r>
      <w:r w:rsidR="009D7844">
        <w:rPr>
          <w:rFonts w:cstheme="minorHAnsi"/>
          <w:sz w:val="28"/>
          <w:szCs w:val="28"/>
        </w:rPr>
        <w:t xml:space="preserve"> à 8</w:t>
      </w:r>
      <w:r w:rsidR="00453CF5">
        <w:rPr>
          <w:rFonts w:cstheme="minorHAnsi"/>
          <w:sz w:val="28"/>
          <w:szCs w:val="28"/>
        </w:rPr>
        <w:t xml:space="preserve"> mm</w:t>
      </w:r>
      <w:r w:rsidR="001971DD">
        <w:rPr>
          <w:rFonts w:cstheme="minorHAnsi"/>
          <w:sz w:val="28"/>
          <w:szCs w:val="28"/>
        </w:rPr>
        <w:t xml:space="preserve"> de hauteur</w:t>
      </w:r>
      <w:r w:rsidRPr="00FC20F4">
        <w:rPr>
          <w:rFonts w:cstheme="minorHAnsi"/>
          <w:sz w:val="28"/>
          <w:szCs w:val="28"/>
        </w:rPr>
        <w:t xml:space="preserve">. </w:t>
      </w:r>
      <w:r w:rsidR="00173D33">
        <w:rPr>
          <w:rFonts w:cstheme="minorHAnsi"/>
          <w:sz w:val="28"/>
          <w:szCs w:val="28"/>
        </w:rPr>
        <w:t>V</w:t>
      </w:r>
      <w:r w:rsidRPr="00FC20F4">
        <w:rPr>
          <w:rFonts w:cstheme="minorHAnsi"/>
          <w:sz w:val="28"/>
          <w:szCs w:val="28"/>
        </w:rPr>
        <w:t>ous</w:t>
      </w:r>
      <w:r w:rsidR="00A72761">
        <w:rPr>
          <w:rFonts w:cstheme="minorHAnsi"/>
          <w:sz w:val="28"/>
          <w:szCs w:val="28"/>
        </w:rPr>
        <w:t xml:space="preserve"> les</w:t>
      </w:r>
      <w:r w:rsidRPr="00FC20F4">
        <w:rPr>
          <w:rFonts w:cstheme="minorHAnsi"/>
          <w:sz w:val="28"/>
          <w:szCs w:val="28"/>
        </w:rPr>
        <w:t xml:space="preserve"> disposerez ensuite sur une plaque de cuisson munie de papier sulfurisé. Pour que les sablés ne se touchent pas au moment de la cuisson, veillez à espacer vos sablés entre eux de 2 cm sur des rangées disposées en quinconce.</w:t>
      </w:r>
    </w:p>
    <w:p w14:paraId="0E9A740F" w14:textId="714DA23C" w:rsidR="00FC20F4" w:rsidRP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 xml:space="preserve">Enfournez votre plaque et laissez cuire 20 minutes. </w:t>
      </w:r>
    </w:p>
    <w:p w14:paraId="56631354" w14:textId="7EAE5A6B" w:rsidR="00FC20F4" w:rsidRP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 xml:space="preserve">Contrôlez la cuisson. Pour des sablés plutôt moelleux, ils devront à peine brunir et rester clairs. Pour des sablés plus croquants il faudra </w:t>
      </w:r>
      <w:r w:rsidR="00A02FB9">
        <w:rPr>
          <w:rFonts w:cstheme="minorHAnsi"/>
          <w:sz w:val="28"/>
          <w:szCs w:val="28"/>
        </w:rPr>
        <w:t>prolonger la cuisson</w:t>
      </w:r>
      <w:r w:rsidRPr="00FC20F4">
        <w:rPr>
          <w:rFonts w:cstheme="minorHAnsi"/>
          <w:sz w:val="28"/>
          <w:szCs w:val="28"/>
        </w:rPr>
        <w:t>.</w:t>
      </w:r>
    </w:p>
    <w:p w14:paraId="5DBD37C2" w14:textId="01CFA580" w:rsidR="00FC20F4" w:rsidRDefault="00FC20F4" w:rsidP="00FC20F4">
      <w:pPr>
        <w:pStyle w:val="Paragraphedeliste"/>
        <w:numPr>
          <w:ilvl w:val="0"/>
          <w:numId w:val="2"/>
        </w:numPr>
        <w:spacing w:after="120"/>
        <w:ind w:left="567" w:hanging="567"/>
        <w:contextualSpacing w:val="0"/>
        <w:jc w:val="both"/>
        <w:rPr>
          <w:rFonts w:cstheme="minorHAnsi"/>
          <w:sz w:val="28"/>
          <w:szCs w:val="28"/>
        </w:rPr>
      </w:pPr>
      <w:r w:rsidRPr="00FC20F4">
        <w:rPr>
          <w:rFonts w:cstheme="minorHAnsi"/>
          <w:sz w:val="28"/>
          <w:szCs w:val="28"/>
        </w:rPr>
        <w:t xml:space="preserve">Laissez refroidir avant dégustation. </w:t>
      </w:r>
    </w:p>
    <w:p w14:paraId="2B260CB6" w14:textId="77777777" w:rsidR="00753F6B" w:rsidRPr="00753F6B" w:rsidRDefault="00753F6B" w:rsidP="00753F6B"/>
    <w:sectPr w:rsidR="00753F6B" w:rsidRPr="00753F6B" w:rsidSect="00753F6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0DBE" w14:textId="77777777" w:rsidR="005079AC" w:rsidRDefault="005079AC" w:rsidP="005A5953">
      <w:pPr>
        <w:spacing w:after="0" w:line="240" w:lineRule="auto"/>
      </w:pPr>
      <w:r>
        <w:separator/>
      </w:r>
    </w:p>
  </w:endnote>
  <w:endnote w:type="continuationSeparator" w:id="0">
    <w:p w14:paraId="5329E9C8" w14:textId="77777777" w:rsidR="005079AC" w:rsidRDefault="005079AC" w:rsidP="005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216086"/>
      <w:docPartObj>
        <w:docPartGallery w:val="Page Numbers (Bottom of Page)"/>
        <w:docPartUnique/>
      </w:docPartObj>
    </w:sdtPr>
    <w:sdtEndPr>
      <w:rPr>
        <w:color w:val="7F7F7F" w:themeColor="background1" w:themeShade="7F"/>
        <w:spacing w:val="60"/>
      </w:rPr>
    </w:sdtEndPr>
    <w:sdtContent>
      <w:p w14:paraId="6F712196" w14:textId="5AD60D58" w:rsidR="00E20397" w:rsidRDefault="00E20397">
        <w:pPr>
          <w:pStyle w:val="Pieddepage"/>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1A2280E6" w14:textId="2C349524" w:rsidR="005A5953" w:rsidRPr="00E20397" w:rsidRDefault="00E20397">
    <w:pPr>
      <w:pStyle w:val="Pieddepage"/>
      <w:rPr>
        <w:rFonts w:ascii="Bradley Hand ITC" w:hAnsi="Bradley Hand ITC"/>
        <w:b/>
        <w:bCs/>
        <w:sz w:val="28"/>
        <w:szCs w:val="28"/>
      </w:rPr>
    </w:pPr>
    <w:r w:rsidRPr="00E20397">
      <w:rPr>
        <w:rFonts w:ascii="Bradley Hand ITC" w:hAnsi="Bradley Hand ITC"/>
        <w:b/>
        <w:bCs/>
        <w:sz w:val="28"/>
        <w:szCs w:val="28"/>
      </w:rPr>
      <w:t xml:space="preserve">Sablés </w:t>
    </w:r>
    <w:r w:rsidR="00753F6B">
      <w:rPr>
        <w:rFonts w:ascii="Bradley Hand ITC" w:hAnsi="Bradley Hand ITC"/>
        <w:b/>
        <w:bCs/>
        <w:sz w:val="28"/>
        <w:szCs w:val="28"/>
      </w:rPr>
      <w:t xml:space="preserve">aux </w:t>
    </w:r>
    <w:r w:rsidR="00141654">
      <w:rPr>
        <w:rFonts w:ascii="Bradley Hand ITC" w:hAnsi="Bradley Hand ITC"/>
        <w:b/>
        <w:bCs/>
        <w:sz w:val="28"/>
        <w:szCs w:val="28"/>
      </w:rPr>
      <w:t>trois graines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014A" w14:textId="77777777" w:rsidR="005079AC" w:rsidRDefault="005079AC" w:rsidP="005A5953">
      <w:pPr>
        <w:spacing w:after="0" w:line="240" w:lineRule="auto"/>
      </w:pPr>
      <w:r>
        <w:separator/>
      </w:r>
    </w:p>
  </w:footnote>
  <w:footnote w:type="continuationSeparator" w:id="0">
    <w:p w14:paraId="29C451FE" w14:textId="77777777" w:rsidR="005079AC" w:rsidRDefault="005079AC" w:rsidP="005A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4599E"/>
    <w:multiLevelType w:val="hybridMultilevel"/>
    <w:tmpl w:val="B3A8B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E00B38"/>
    <w:multiLevelType w:val="hybridMultilevel"/>
    <w:tmpl w:val="41326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041E56"/>
    <w:multiLevelType w:val="hybridMultilevel"/>
    <w:tmpl w:val="0D9A08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C6"/>
    <w:rsid w:val="00004333"/>
    <w:rsid w:val="00094EAF"/>
    <w:rsid w:val="000B74EA"/>
    <w:rsid w:val="000F44E9"/>
    <w:rsid w:val="00141654"/>
    <w:rsid w:val="001700EB"/>
    <w:rsid w:val="00173D33"/>
    <w:rsid w:val="001971DD"/>
    <w:rsid w:val="001D2A34"/>
    <w:rsid w:val="00200E4E"/>
    <w:rsid w:val="002832EB"/>
    <w:rsid w:val="00327590"/>
    <w:rsid w:val="00351081"/>
    <w:rsid w:val="003D4A61"/>
    <w:rsid w:val="003F71D2"/>
    <w:rsid w:val="004007EC"/>
    <w:rsid w:val="00413AC2"/>
    <w:rsid w:val="00453CF5"/>
    <w:rsid w:val="00460CA8"/>
    <w:rsid w:val="004A096E"/>
    <w:rsid w:val="004F2DD4"/>
    <w:rsid w:val="005079AC"/>
    <w:rsid w:val="005A5953"/>
    <w:rsid w:val="005E1723"/>
    <w:rsid w:val="0064229C"/>
    <w:rsid w:val="00720119"/>
    <w:rsid w:val="0074120C"/>
    <w:rsid w:val="00753F6B"/>
    <w:rsid w:val="0079074C"/>
    <w:rsid w:val="00820E6E"/>
    <w:rsid w:val="008A56AF"/>
    <w:rsid w:val="008D59F0"/>
    <w:rsid w:val="009531D6"/>
    <w:rsid w:val="00966CBC"/>
    <w:rsid w:val="009B5250"/>
    <w:rsid w:val="009C7B4F"/>
    <w:rsid w:val="009D7844"/>
    <w:rsid w:val="009F0B10"/>
    <w:rsid w:val="00A02FB9"/>
    <w:rsid w:val="00A14586"/>
    <w:rsid w:val="00A3332B"/>
    <w:rsid w:val="00A37CFE"/>
    <w:rsid w:val="00A72761"/>
    <w:rsid w:val="00AC6ED8"/>
    <w:rsid w:val="00AD0595"/>
    <w:rsid w:val="00BA521C"/>
    <w:rsid w:val="00BA555F"/>
    <w:rsid w:val="00BA76F4"/>
    <w:rsid w:val="00C4275C"/>
    <w:rsid w:val="00CE6263"/>
    <w:rsid w:val="00D109F3"/>
    <w:rsid w:val="00D83858"/>
    <w:rsid w:val="00D85EC4"/>
    <w:rsid w:val="00E20397"/>
    <w:rsid w:val="00EC17C6"/>
    <w:rsid w:val="00ED6340"/>
    <w:rsid w:val="00F61FD6"/>
    <w:rsid w:val="00FC20F4"/>
    <w:rsid w:val="00FD012E"/>
    <w:rsid w:val="00FF0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EEED"/>
  <w15:chartTrackingRefBased/>
  <w15:docId w15:val="{A41161B2-9549-4E1F-A3AB-CE44EF18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7C6"/>
    <w:pPr>
      <w:ind w:left="720"/>
      <w:contextualSpacing/>
    </w:pPr>
  </w:style>
  <w:style w:type="paragraph" w:styleId="En-tte">
    <w:name w:val="header"/>
    <w:basedOn w:val="Normal"/>
    <w:link w:val="En-tteCar"/>
    <w:uiPriority w:val="99"/>
    <w:unhideWhenUsed/>
    <w:rsid w:val="005A5953"/>
    <w:pPr>
      <w:tabs>
        <w:tab w:val="center" w:pos="4536"/>
        <w:tab w:val="right" w:pos="9072"/>
      </w:tabs>
      <w:spacing w:after="0" w:line="240" w:lineRule="auto"/>
    </w:pPr>
  </w:style>
  <w:style w:type="character" w:customStyle="1" w:styleId="En-tteCar">
    <w:name w:val="En-tête Car"/>
    <w:basedOn w:val="Policepardfaut"/>
    <w:link w:val="En-tte"/>
    <w:uiPriority w:val="99"/>
    <w:rsid w:val="005A5953"/>
  </w:style>
  <w:style w:type="paragraph" w:styleId="Pieddepage">
    <w:name w:val="footer"/>
    <w:basedOn w:val="Normal"/>
    <w:link w:val="PieddepageCar"/>
    <w:uiPriority w:val="99"/>
    <w:unhideWhenUsed/>
    <w:rsid w:val="005A59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 Tourmente</dc:creator>
  <cp:keywords/>
  <dc:description/>
  <cp:lastModifiedBy>Cathel Tourmente</cp:lastModifiedBy>
  <cp:revision>23</cp:revision>
  <dcterms:created xsi:type="dcterms:W3CDTF">2020-03-16T14:37:00Z</dcterms:created>
  <dcterms:modified xsi:type="dcterms:W3CDTF">2020-03-16T14:46:00Z</dcterms:modified>
</cp:coreProperties>
</file>