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94FAA" w14:textId="25D77C21" w:rsidR="00EC17C6" w:rsidRPr="005A5953" w:rsidRDefault="00EC17C6" w:rsidP="00EC17C6">
      <w:pPr>
        <w:pBdr>
          <w:top w:val="doubleWave" w:sz="6" w:space="6" w:color="auto"/>
          <w:bottom w:val="doubleWave" w:sz="6" w:space="6" w:color="auto"/>
        </w:pBdr>
        <w:spacing w:after="0"/>
        <w:jc w:val="center"/>
        <w:rPr>
          <w:rFonts w:ascii="Bradley Hand ITC" w:hAnsi="Bradley Hand ITC"/>
          <w:b/>
          <w:bCs/>
          <w:sz w:val="56"/>
          <w:szCs w:val="56"/>
        </w:rPr>
      </w:pPr>
      <w:r w:rsidRPr="005A5953">
        <w:rPr>
          <w:rFonts w:ascii="Bradley Hand ITC" w:hAnsi="Bradley Hand ITC"/>
          <w:b/>
          <w:bCs/>
          <w:sz w:val="56"/>
          <w:szCs w:val="56"/>
        </w:rPr>
        <w:t xml:space="preserve">Sablés </w:t>
      </w:r>
      <w:r w:rsidR="00C4275C">
        <w:rPr>
          <w:rFonts w:ascii="Bradley Hand ITC" w:hAnsi="Bradley Hand ITC"/>
          <w:b/>
          <w:bCs/>
          <w:sz w:val="56"/>
          <w:szCs w:val="56"/>
        </w:rPr>
        <w:t>aux épices</w:t>
      </w:r>
    </w:p>
    <w:p w14:paraId="7821FB2B" w14:textId="4C5938B7" w:rsidR="00EC17C6" w:rsidRDefault="00EC17C6" w:rsidP="00EC17C6">
      <w:pPr>
        <w:spacing w:after="0"/>
        <w:jc w:val="both"/>
        <w:rPr>
          <w:rFonts w:ascii="Bradley Hand ITC" w:hAnsi="Bradley Hand ITC"/>
          <w:sz w:val="36"/>
          <w:szCs w:val="36"/>
        </w:rPr>
      </w:pPr>
    </w:p>
    <w:p w14:paraId="4AAD90FA" w14:textId="543C4AB3" w:rsidR="00EC17C6" w:rsidRPr="00EC17C6" w:rsidRDefault="00A14586" w:rsidP="00EC17C6">
      <w:pPr>
        <w:spacing w:after="0"/>
        <w:jc w:val="bot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noProof/>
          <w:sz w:val="36"/>
          <w:szCs w:val="36"/>
        </w:rPr>
        <w:drawing>
          <wp:inline distT="0" distB="0" distL="0" distR="0" wp14:anchorId="0196173F" wp14:editId="6500369E">
            <wp:extent cx="5753100" cy="4857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9B218" w14:textId="77777777" w:rsidR="005A5953" w:rsidRDefault="005A5953" w:rsidP="00EC17C6">
      <w:pPr>
        <w:spacing w:after="0"/>
        <w:jc w:val="center"/>
        <w:rPr>
          <w:rFonts w:ascii="Bradley Hand ITC" w:hAnsi="Bradley Hand ITC"/>
          <w:b/>
          <w:bCs/>
          <w:sz w:val="36"/>
          <w:szCs w:val="36"/>
          <w:u w:val="single"/>
        </w:rPr>
      </w:pPr>
    </w:p>
    <w:p w14:paraId="7F9F9BB6" w14:textId="64436294" w:rsidR="00EC17C6" w:rsidRPr="005A5953" w:rsidRDefault="00EC17C6" w:rsidP="00EC17C6">
      <w:pPr>
        <w:spacing w:after="0"/>
        <w:jc w:val="center"/>
        <w:rPr>
          <w:rFonts w:ascii="Bradley Hand ITC" w:hAnsi="Bradley Hand ITC"/>
          <w:b/>
          <w:bCs/>
          <w:sz w:val="36"/>
          <w:szCs w:val="36"/>
          <w:u w:val="single"/>
        </w:rPr>
      </w:pPr>
      <w:r w:rsidRPr="005A5953">
        <w:rPr>
          <w:rFonts w:ascii="Bradley Hand ITC" w:hAnsi="Bradley Hand ITC"/>
          <w:b/>
          <w:bCs/>
          <w:sz w:val="36"/>
          <w:szCs w:val="36"/>
          <w:u w:val="single"/>
        </w:rPr>
        <w:t>Ingrédients</w:t>
      </w:r>
    </w:p>
    <w:p w14:paraId="51D3D379" w14:textId="128B392F" w:rsidR="0074120C" w:rsidRPr="005A5953" w:rsidRDefault="0074120C" w:rsidP="0074120C">
      <w:pPr>
        <w:spacing w:after="0"/>
        <w:jc w:val="both"/>
        <w:rPr>
          <w:rFonts w:ascii="Bradley Hand ITC" w:hAnsi="Bradley Hand ITC"/>
          <w:b/>
          <w:bCs/>
          <w:sz w:val="32"/>
          <w:szCs w:val="32"/>
        </w:rPr>
      </w:pPr>
      <w:r w:rsidRPr="005A5953">
        <w:rPr>
          <w:rFonts w:ascii="Bradley Hand ITC" w:hAnsi="Bradley Hand ITC"/>
          <w:b/>
          <w:bCs/>
          <w:sz w:val="32"/>
          <w:szCs w:val="32"/>
        </w:rPr>
        <w:t xml:space="preserve">Pour </w:t>
      </w:r>
      <w:r>
        <w:rPr>
          <w:rFonts w:ascii="Bradley Hand ITC" w:hAnsi="Bradley Hand ITC"/>
          <w:b/>
          <w:bCs/>
          <w:sz w:val="32"/>
          <w:szCs w:val="32"/>
        </w:rPr>
        <w:t>les sablés</w:t>
      </w:r>
      <w:r w:rsidRPr="005A5953">
        <w:rPr>
          <w:rFonts w:ascii="Bradley Hand ITC" w:hAnsi="Bradley Hand ITC"/>
          <w:b/>
          <w:bCs/>
          <w:sz w:val="32"/>
          <w:szCs w:val="32"/>
        </w:rPr>
        <w:t> :</w:t>
      </w:r>
    </w:p>
    <w:p w14:paraId="28370658" w14:textId="77777777" w:rsidR="0074120C" w:rsidRPr="0074120C" w:rsidRDefault="0074120C" w:rsidP="0074120C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8"/>
          <w:szCs w:val="28"/>
        </w:rPr>
      </w:pPr>
      <w:r w:rsidRPr="0074120C">
        <w:rPr>
          <w:rFonts w:cstheme="minorHAnsi"/>
          <w:sz w:val="28"/>
          <w:szCs w:val="28"/>
        </w:rPr>
        <w:t>60 g de sucre en poudre</w:t>
      </w:r>
    </w:p>
    <w:p w14:paraId="7CC24F87" w14:textId="77777777" w:rsidR="0074120C" w:rsidRPr="0074120C" w:rsidRDefault="0074120C" w:rsidP="0074120C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8"/>
          <w:szCs w:val="28"/>
        </w:rPr>
      </w:pPr>
      <w:r w:rsidRPr="0074120C">
        <w:rPr>
          <w:rFonts w:cstheme="minorHAnsi"/>
          <w:sz w:val="28"/>
          <w:szCs w:val="28"/>
        </w:rPr>
        <w:t>50 g de beurre</w:t>
      </w:r>
    </w:p>
    <w:p w14:paraId="3EF5F6D3" w14:textId="77777777" w:rsidR="0074120C" w:rsidRPr="0074120C" w:rsidRDefault="0074120C" w:rsidP="0074120C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8"/>
          <w:szCs w:val="28"/>
        </w:rPr>
      </w:pPr>
      <w:r w:rsidRPr="0074120C">
        <w:rPr>
          <w:rFonts w:cstheme="minorHAnsi"/>
          <w:sz w:val="28"/>
          <w:szCs w:val="28"/>
        </w:rPr>
        <w:t>125 g de miel</w:t>
      </w:r>
    </w:p>
    <w:p w14:paraId="21E7E790" w14:textId="021D6A6A" w:rsidR="0074120C" w:rsidRDefault="0074120C" w:rsidP="0074120C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8"/>
          <w:szCs w:val="28"/>
        </w:rPr>
      </w:pPr>
      <w:r w:rsidRPr="0074120C">
        <w:rPr>
          <w:rFonts w:cstheme="minorHAnsi"/>
          <w:sz w:val="28"/>
          <w:szCs w:val="28"/>
        </w:rPr>
        <w:t>250 g de farine</w:t>
      </w:r>
    </w:p>
    <w:p w14:paraId="3D8809AC" w14:textId="012F9852" w:rsidR="0074120C" w:rsidRPr="0074120C" w:rsidRDefault="0074120C" w:rsidP="00966CBC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Épices : détail ci-dessous ou </w:t>
      </w:r>
      <w:r w:rsidR="005E1723">
        <w:rPr>
          <w:rFonts w:cstheme="minorHAnsi"/>
          <w:sz w:val="28"/>
          <w:szCs w:val="28"/>
        </w:rPr>
        <w:t>3 cuillères à café de mélange pain d’épice</w:t>
      </w:r>
    </w:p>
    <w:p w14:paraId="3CD92942" w14:textId="77777777" w:rsidR="0074120C" w:rsidRPr="0074120C" w:rsidRDefault="0074120C" w:rsidP="00966CBC">
      <w:pPr>
        <w:pStyle w:val="Paragraphedeliste"/>
        <w:numPr>
          <w:ilvl w:val="0"/>
          <w:numId w:val="3"/>
        </w:numPr>
        <w:spacing w:after="0"/>
        <w:ind w:left="851" w:hanging="425"/>
        <w:jc w:val="both"/>
        <w:rPr>
          <w:rFonts w:cstheme="minorHAnsi"/>
          <w:sz w:val="28"/>
          <w:szCs w:val="28"/>
        </w:rPr>
      </w:pPr>
      <w:r w:rsidRPr="0074120C">
        <w:rPr>
          <w:rFonts w:cstheme="minorHAnsi"/>
          <w:sz w:val="28"/>
          <w:szCs w:val="28"/>
        </w:rPr>
        <w:t>1 cuillère à café de cannelle</w:t>
      </w:r>
    </w:p>
    <w:p w14:paraId="048AAEDC" w14:textId="77777777" w:rsidR="0074120C" w:rsidRPr="0074120C" w:rsidRDefault="0074120C" w:rsidP="00966CBC">
      <w:pPr>
        <w:pStyle w:val="Paragraphedeliste"/>
        <w:numPr>
          <w:ilvl w:val="0"/>
          <w:numId w:val="3"/>
        </w:numPr>
        <w:spacing w:after="0"/>
        <w:ind w:left="851" w:hanging="425"/>
        <w:jc w:val="both"/>
        <w:rPr>
          <w:rFonts w:cstheme="minorHAnsi"/>
          <w:sz w:val="28"/>
          <w:szCs w:val="28"/>
        </w:rPr>
      </w:pPr>
      <w:r w:rsidRPr="0074120C">
        <w:rPr>
          <w:rFonts w:cstheme="minorHAnsi"/>
          <w:sz w:val="28"/>
          <w:szCs w:val="28"/>
        </w:rPr>
        <w:t>1/2 cuillère à café de muscade</w:t>
      </w:r>
    </w:p>
    <w:p w14:paraId="05F268CD" w14:textId="77777777" w:rsidR="0074120C" w:rsidRPr="0074120C" w:rsidRDefault="0074120C" w:rsidP="00966CBC">
      <w:pPr>
        <w:pStyle w:val="Paragraphedeliste"/>
        <w:numPr>
          <w:ilvl w:val="0"/>
          <w:numId w:val="3"/>
        </w:numPr>
        <w:spacing w:after="0"/>
        <w:ind w:left="851" w:hanging="425"/>
        <w:jc w:val="both"/>
        <w:rPr>
          <w:rFonts w:cstheme="minorHAnsi"/>
          <w:sz w:val="28"/>
          <w:szCs w:val="28"/>
        </w:rPr>
      </w:pPr>
      <w:r w:rsidRPr="0074120C">
        <w:rPr>
          <w:rFonts w:cstheme="minorHAnsi"/>
          <w:sz w:val="28"/>
          <w:szCs w:val="28"/>
        </w:rPr>
        <w:t>1/2 cuillère à café de gingembre</w:t>
      </w:r>
    </w:p>
    <w:p w14:paraId="26EBF7D4" w14:textId="77777777" w:rsidR="0074120C" w:rsidRPr="0074120C" w:rsidRDefault="0074120C" w:rsidP="00966CBC">
      <w:pPr>
        <w:pStyle w:val="Paragraphedeliste"/>
        <w:numPr>
          <w:ilvl w:val="0"/>
          <w:numId w:val="3"/>
        </w:numPr>
        <w:spacing w:after="0"/>
        <w:ind w:left="851" w:hanging="425"/>
        <w:jc w:val="both"/>
        <w:rPr>
          <w:rFonts w:cstheme="minorHAnsi"/>
          <w:sz w:val="28"/>
          <w:szCs w:val="28"/>
        </w:rPr>
      </w:pPr>
      <w:r w:rsidRPr="0074120C">
        <w:rPr>
          <w:rFonts w:cstheme="minorHAnsi"/>
          <w:sz w:val="28"/>
          <w:szCs w:val="28"/>
        </w:rPr>
        <w:t>1/2 cuillère à café de cardamome</w:t>
      </w:r>
    </w:p>
    <w:p w14:paraId="260708C9" w14:textId="77777777" w:rsidR="0074120C" w:rsidRPr="0074120C" w:rsidRDefault="0074120C" w:rsidP="00966CBC">
      <w:pPr>
        <w:pStyle w:val="Paragraphedeliste"/>
        <w:numPr>
          <w:ilvl w:val="0"/>
          <w:numId w:val="3"/>
        </w:numPr>
        <w:spacing w:after="0"/>
        <w:ind w:left="851" w:hanging="425"/>
        <w:jc w:val="both"/>
        <w:rPr>
          <w:rFonts w:cstheme="minorHAnsi"/>
          <w:sz w:val="28"/>
          <w:szCs w:val="28"/>
        </w:rPr>
      </w:pPr>
      <w:r w:rsidRPr="0074120C">
        <w:rPr>
          <w:rFonts w:cstheme="minorHAnsi"/>
          <w:sz w:val="28"/>
          <w:szCs w:val="28"/>
        </w:rPr>
        <w:t>1/2 cuillère à café de coriandre</w:t>
      </w:r>
    </w:p>
    <w:p w14:paraId="5D85FAEC" w14:textId="77777777" w:rsidR="0074120C" w:rsidRPr="0074120C" w:rsidRDefault="0074120C" w:rsidP="0074120C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8"/>
          <w:szCs w:val="28"/>
        </w:rPr>
      </w:pPr>
      <w:r w:rsidRPr="0074120C">
        <w:rPr>
          <w:rFonts w:cstheme="minorHAnsi"/>
          <w:sz w:val="28"/>
          <w:szCs w:val="28"/>
        </w:rPr>
        <w:lastRenderedPageBreak/>
        <w:t>1 cuillère à café de levure</w:t>
      </w:r>
    </w:p>
    <w:p w14:paraId="03C784BB" w14:textId="77777777" w:rsidR="0074120C" w:rsidRPr="0074120C" w:rsidRDefault="0074120C" w:rsidP="0074120C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8"/>
          <w:szCs w:val="28"/>
        </w:rPr>
      </w:pPr>
      <w:r w:rsidRPr="0074120C">
        <w:rPr>
          <w:rFonts w:cstheme="minorHAnsi"/>
          <w:sz w:val="28"/>
          <w:szCs w:val="28"/>
        </w:rPr>
        <w:t>1 pincée de sel fin</w:t>
      </w:r>
    </w:p>
    <w:p w14:paraId="441C6AF4" w14:textId="20FD2689" w:rsidR="0074120C" w:rsidRPr="0074120C" w:rsidRDefault="0074120C" w:rsidP="0074120C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8"/>
          <w:szCs w:val="28"/>
        </w:rPr>
      </w:pPr>
      <w:r w:rsidRPr="0074120C">
        <w:rPr>
          <w:rFonts w:cstheme="minorHAnsi"/>
          <w:sz w:val="28"/>
          <w:szCs w:val="28"/>
        </w:rPr>
        <w:t>1 jaune d'</w:t>
      </w:r>
      <w:r w:rsidRPr="0074120C">
        <w:rPr>
          <w:rFonts w:cstheme="minorHAnsi"/>
          <w:sz w:val="28"/>
          <w:szCs w:val="28"/>
        </w:rPr>
        <w:t>œuf</w:t>
      </w:r>
    </w:p>
    <w:p w14:paraId="64E3307A" w14:textId="77777777" w:rsidR="0074120C" w:rsidRPr="0074120C" w:rsidRDefault="0074120C" w:rsidP="0074120C">
      <w:pPr>
        <w:pStyle w:val="Paragraphedeliste"/>
        <w:spacing w:after="0"/>
        <w:ind w:left="426"/>
        <w:jc w:val="both"/>
        <w:rPr>
          <w:rFonts w:cstheme="minorHAnsi"/>
          <w:sz w:val="28"/>
          <w:szCs w:val="28"/>
        </w:rPr>
      </w:pPr>
    </w:p>
    <w:p w14:paraId="0ECC67D2" w14:textId="77777777" w:rsidR="00EC17C6" w:rsidRPr="005A5953" w:rsidRDefault="00EC17C6" w:rsidP="00EC17C6">
      <w:pPr>
        <w:spacing w:after="0"/>
        <w:jc w:val="both"/>
        <w:rPr>
          <w:rFonts w:ascii="Bradley Hand ITC" w:hAnsi="Bradley Hand ITC"/>
          <w:b/>
          <w:bCs/>
          <w:sz w:val="32"/>
          <w:szCs w:val="32"/>
        </w:rPr>
      </w:pPr>
      <w:r w:rsidRPr="005A5953">
        <w:rPr>
          <w:rFonts w:ascii="Bradley Hand ITC" w:hAnsi="Bradley Hand ITC"/>
          <w:b/>
          <w:bCs/>
          <w:sz w:val="32"/>
          <w:szCs w:val="32"/>
        </w:rPr>
        <w:t>Pour le glaçage :</w:t>
      </w:r>
    </w:p>
    <w:p w14:paraId="52B7A8BF" w14:textId="7E6BDF65" w:rsidR="00EC17C6" w:rsidRPr="005A5953" w:rsidRDefault="0074120C" w:rsidP="00EC17C6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</w:t>
      </w:r>
      <w:r w:rsidR="00EC17C6" w:rsidRPr="005A5953">
        <w:rPr>
          <w:rFonts w:cstheme="minorHAnsi"/>
          <w:sz w:val="28"/>
          <w:szCs w:val="28"/>
        </w:rPr>
        <w:t>0 g de sucre glace</w:t>
      </w:r>
    </w:p>
    <w:p w14:paraId="6AD18FD6" w14:textId="77777777" w:rsidR="00EC17C6" w:rsidRPr="005A5953" w:rsidRDefault="00EC17C6" w:rsidP="00EC17C6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8"/>
          <w:szCs w:val="28"/>
        </w:rPr>
      </w:pPr>
      <w:r w:rsidRPr="005A5953">
        <w:rPr>
          <w:rFonts w:cstheme="minorHAnsi"/>
          <w:sz w:val="28"/>
          <w:szCs w:val="28"/>
        </w:rPr>
        <w:t>1 blanc d’œuf</w:t>
      </w:r>
    </w:p>
    <w:p w14:paraId="4ABE22C1" w14:textId="77777777" w:rsidR="0074120C" w:rsidRPr="005A5953" w:rsidRDefault="0074120C" w:rsidP="0074120C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8"/>
          <w:szCs w:val="28"/>
        </w:rPr>
      </w:pPr>
      <w:r w:rsidRPr="0074120C">
        <w:rPr>
          <w:rFonts w:cstheme="minorHAnsi"/>
          <w:sz w:val="28"/>
          <w:szCs w:val="28"/>
        </w:rPr>
        <w:t>Vermicelles au chocolat, fruits confits, etc.)</w:t>
      </w:r>
    </w:p>
    <w:p w14:paraId="6CA37E2A" w14:textId="77777777" w:rsidR="00EC17C6" w:rsidRPr="00EC17C6" w:rsidRDefault="00EC17C6" w:rsidP="00EC17C6">
      <w:pPr>
        <w:spacing w:after="0"/>
        <w:jc w:val="both"/>
        <w:rPr>
          <w:rFonts w:ascii="Bradley Hand ITC" w:hAnsi="Bradley Hand ITC"/>
          <w:sz w:val="36"/>
          <w:szCs w:val="36"/>
        </w:rPr>
      </w:pPr>
    </w:p>
    <w:p w14:paraId="572C0924" w14:textId="77777777" w:rsidR="00EC17C6" w:rsidRPr="005A5953" w:rsidRDefault="00EC17C6" w:rsidP="00EC17C6">
      <w:pPr>
        <w:spacing w:after="0"/>
        <w:jc w:val="center"/>
        <w:rPr>
          <w:rFonts w:ascii="Bradley Hand ITC" w:hAnsi="Bradley Hand ITC"/>
          <w:b/>
          <w:bCs/>
          <w:sz w:val="36"/>
          <w:szCs w:val="36"/>
          <w:u w:val="single"/>
        </w:rPr>
      </w:pPr>
      <w:r w:rsidRPr="005A5953">
        <w:rPr>
          <w:rFonts w:ascii="Bradley Hand ITC" w:hAnsi="Bradley Hand ITC"/>
          <w:b/>
          <w:bCs/>
          <w:sz w:val="36"/>
          <w:szCs w:val="36"/>
          <w:u w:val="single"/>
        </w:rPr>
        <w:t>Préparation</w:t>
      </w:r>
    </w:p>
    <w:p w14:paraId="4F679BE5" w14:textId="7AAC8595" w:rsidR="00EC17C6" w:rsidRDefault="00EC17C6" w:rsidP="00EC17C6">
      <w:pPr>
        <w:spacing w:after="0"/>
        <w:jc w:val="both"/>
        <w:rPr>
          <w:rFonts w:cstheme="minorHAnsi"/>
          <w:sz w:val="32"/>
          <w:szCs w:val="32"/>
        </w:rPr>
      </w:pPr>
    </w:p>
    <w:p w14:paraId="2915E17F" w14:textId="25311438" w:rsidR="00D83858" w:rsidRPr="00D83858" w:rsidRDefault="00D83858" w:rsidP="00D83858">
      <w:pPr>
        <w:pStyle w:val="Paragraphedeliste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cstheme="minorHAnsi"/>
          <w:sz w:val="28"/>
          <w:szCs w:val="28"/>
        </w:rPr>
      </w:pPr>
      <w:r w:rsidRPr="00D83858">
        <w:rPr>
          <w:rFonts w:cstheme="minorHAnsi"/>
          <w:sz w:val="28"/>
          <w:szCs w:val="28"/>
        </w:rPr>
        <w:t>Pour les biscuits</w:t>
      </w:r>
      <w:r>
        <w:rPr>
          <w:rFonts w:cstheme="minorHAnsi"/>
          <w:sz w:val="28"/>
          <w:szCs w:val="28"/>
        </w:rPr>
        <w:t> : p</w:t>
      </w:r>
      <w:r w:rsidRPr="00D83858">
        <w:rPr>
          <w:rFonts w:cstheme="minorHAnsi"/>
          <w:sz w:val="28"/>
          <w:szCs w:val="28"/>
        </w:rPr>
        <w:t>orter à feu doux le miel, le beurre, le sucre et les épices dans une petite casserole jusqu'à ce que le sucre soit bien fondu.</w:t>
      </w:r>
    </w:p>
    <w:p w14:paraId="47789BD4" w14:textId="77777777" w:rsidR="00D83858" w:rsidRPr="00D83858" w:rsidRDefault="00D83858" w:rsidP="00D83858">
      <w:pPr>
        <w:pStyle w:val="Paragraphedeliste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cstheme="minorHAnsi"/>
          <w:sz w:val="28"/>
          <w:szCs w:val="28"/>
        </w:rPr>
      </w:pPr>
      <w:r w:rsidRPr="00D83858">
        <w:rPr>
          <w:rFonts w:cstheme="minorHAnsi"/>
          <w:sz w:val="28"/>
          <w:szCs w:val="28"/>
        </w:rPr>
        <w:t>Laisser refroidir le mélange et pendant ce temps mêler la farine, la levure et le sel dans un grand saladier.</w:t>
      </w:r>
    </w:p>
    <w:p w14:paraId="78FEF3EC" w14:textId="4E380DFD" w:rsidR="00D83858" w:rsidRPr="00D83858" w:rsidRDefault="00D83858" w:rsidP="00D83858">
      <w:pPr>
        <w:pStyle w:val="Paragraphedeliste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cstheme="minorHAnsi"/>
          <w:sz w:val="28"/>
          <w:szCs w:val="28"/>
        </w:rPr>
      </w:pPr>
      <w:r w:rsidRPr="00D83858">
        <w:rPr>
          <w:rFonts w:cstheme="minorHAnsi"/>
          <w:sz w:val="28"/>
          <w:szCs w:val="28"/>
        </w:rPr>
        <w:t>Incorporer la masse de miel refroidi et le jaune d’</w:t>
      </w:r>
      <w:r w:rsidR="008D59F0" w:rsidRPr="00D83858">
        <w:rPr>
          <w:rFonts w:cstheme="minorHAnsi"/>
          <w:sz w:val="28"/>
          <w:szCs w:val="28"/>
        </w:rPr>
        <w:t>œuf</w:t>
      </w:r>
      <w:r w:rsidRPr="00D83858">
        <w:rPr>
          <w:rFonts w:cstheme="minorHAnsi"/>
          <w:sz w:val="28"/>
          <w:szCs w:val="28"/>
        </w:rPr>
        <w:t xml:space="preserve"> au mélange dans le saladier.</w:t>
      </w:r>
    </w:p>
    <w:p w14:paraId="67E091C1" w14:textId="77777777" w:rsidR="00D83858" w:rsidRPr="00D83858" w:rsidRDefault="00D83858" w:rsidP="00D83858">
      <w:pPr>
        <w:pStyle w:val="Paragraphedeliste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cstheme="minorHAnsi"/>
          <w:sz w:val="28"/>
          <w:szCs w:val="28"/>
        </w:rPr>
      </w:pPr>
      <w:r w:rsidRPr="00D83858">
        <w:rPr>
          <w:rFonts w:cstheme="minorHAnsi"/>
          <w:sz w:val="28"/>
          <w:szCs w:val="28"/>
        </w:rPr>
        <w:t>Laisser reposer une heure à température ambiante.</w:t>
      </w:r>
    </w:p>
    <w:p w14:paraId="2D447E0B" w14:textId="52E3A6EB" w:rsidR="00D83858" w:rsidRPr="00D83858" w:rsidRDefault="00D83858" w:rsidP="00D83858">
      <w:pPr>
        <w:pStyle w:val="Paragraphedeliste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cstheme="minorHAnsi"/>
          <w:sz w:val="28"/>
          <w:szCs w:val="28"/>
        </w:rPr>
      </w:pPr>
      <w:r w:rsidRPr="00D83858">
        <w:rPr>
          <w:rFonts w:cstheme="minorHAnsi"/>
          <w:sz w:val="28"/>
          <w:szCs w:val="28"/>
        </w:rPr>
        <w:t>Préchauffer le four à 2</w:t>
      </w:r>
      <w:r w:rsidR="00094EAF">
        <w:rPr>
          <w:rFonts w:cstheme="minorHAnsi"/>
          <w:sz w:val="28"/>
          <w:szCs w:val="28"/>
        </w:rPr>
        <w:t>0</w:t>
      </w:r>
      <w:r w:rsidRPr="00D83858">
        <w:rPr>
          <w:rFonts w:cstheme="minorHAnsi"/>
          <w:sz w:val="28"/>
          <w:szCs w:val="28"/>
        </w:rPr>
        <w:t xml:space="preserve">0°C (Thermostat </w:t>
      </w:r>
      <w:r w:rsidR="00094EAF">
        <w:rPr>
          <w:rFonts w:cstheme="minorHAnsi"/>
          <w:sz w:val="28"/>
          <w:szCs w:val="28"/>
        </w:rPr>
        <w:t>6/7</w:t>
      </w:r>
      <w:r w:rsidRPr="00D83858">
        <w:rPr>
          <w:rFonts w:cstheme="minorHAnsi"/>
          <w:sz w:val="28"/>
          <w:szCs w:val="28"/>
        </w:rPr>
        <w:t>).</w:t>
      </w:r>
    </w:p>
    <w:p w14:paraId="37A4392C" w14:textId="40C1AEE9" w:rsidR="00D83858" w:rsidRPr="00D83858" w:rsidRDefault="00D83858" w:rsidP="00D83858">
      <w:pPr>
        <w:pStyle w:val="Paragraphedeliste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cstheme="minorHAnsi"/>
          <w:sz w:val="28"/>
          <w:szCs w:val="28"/>
        </w:rPr>
      </w:pPr>
      <w:r w:rsidRPr="00D83858">
        <w:rPr>
          <w:rFonts w:cstheme="minorHAnsi"/>
          <w:sz w:val="28"/>
          <w:szCs w:val="28"/>
        </w:rPr>
        <w:t xml:space="preserve">Étaler la pâte sur </w:t>
      </w:r>
      <w:r w:rsidR="0079074C">
        <w:rPr>
          <w:rFonts w:cstheme="minorHAnsi"/>
          <w:sz w:val="28"/>
          <w:szCs w:val="28"/>
        </w:rPr>
        <w:t>8</w:t>
      </w:r>
      <w:r w:rsidRPr="00D83858">
        <w:rPr>
          <w:rFonts w:cstheme="minorHAnsi"/>
          <w:sz w:val="28"/>
          <w:szCs w:val="28"/>
        </w:rPr>
        <w:t xml:space="preserve"> mm environ et découper des formes dans la pâte à l'emporte pièces.</w:t>
      </w:r>
      <w:r w:rsidR="004A096E">
        <w:rPr>
          <w:rFonts w:cstheme="minorHAnsi"/>
          <w:sz w:val="28"/>
          <w:szCs w:val="28"/>
        </w:rPr>
        <w:t xml:space="preserve"> </w:t>
      </w:r>
    </w:p>
    <w:p w14:paraId="49DAEF76" w14:textId="453BC6A8" w:rsidR="000B74EA" w:rsidRDefault="000B74EA" w:rsidP="00D83858">
      <w:pPr>
        <w:pStyle w:val="Paragraphedeliste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Disposer sur une plaque pâtissière. </w:t>
      </w:r>
      <w:r w:rsidR="004A096E">
        <w:rPr>
          <w:rFonts w:cstheme="minorHAnsi"/>
          <w:sz w:val="28"/>
          <w:szCs w:val="28"/>
        </w:rPr>
        <w:t xml:space="preserve">Espacer les gâteaux, car ils gonflent à la cuisson. La préparation permet de faire deux plaques. </w:t>
      </w:r>
    </w:p>
    <w:p w14:paraId="32322A45" w14:textId="1CC1976D" w:rsidR="00D83858" w:rsidRPr="00D83858" w:rsidRDefault="00D83858" w:rsidP="00D83858">
      <w:pPr>
        <w:pStyle w:val="Paragraphedeliste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cstheme="minorHAnsi"/>
          <w:sz w:val="28"/>
          <w:szCs w:val="28"/>
        </w:rPr>
      </w:pPr>
      <w:r w:rsidRPr="00D83858">
        <w:rPr>
          <w:rFonts w:cstheme="minorHAnsi"/>
          <w:sz w:val="28"/>
          <w:szCs w:val="28"/>
        </w:rPr>
        <w:t xml:space="preserve">Faire cuire sur une plaque à pâtisserie pendant </w:t>
      </w:r>
      <w:r w:rsidR="00FF01D7">
        <w:rPr>
          <w:rFonts w:cstheme="minorHAnsi"/>
          <w:sz w:val="28"/>
          <w:szCs w:val="28"/>
        </w:rPr>
        <w:t>8</w:t>
      </w:r>
      <w:r w:rsidRPr="00D83858">
        <w:rPr>
          <w:rFonts w:cstheme="minorHAnsi"/>
          <w:sz w:val="28"/>
          <w:szCs w:val="28"/>
        </w:rPr>
        <w:t xml:space="preserve"> minutes.</w:t>
      </w:r>
    </w:p>
    <w:p w14:paraId="498C7860" w14:textId="785FCA06" w:rsidR="00D83858" w:rsidRPr="00D83858" w:rsidRDefault="00D83858" w:rsidP="00D83858">
      <w:pPr>
        <w:pStyle w:val="Paragraphedeliste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cstheme="minorHAnsi"/>
          <w:sz w:val="28"/>
          <w:szCs w:val="28"/>
        </w:rPr>
      </w:pPr>
      <w:r w:rsidRPr="00D83858">
        <w:rPr>
          <w:rFonts w:cstheme="minorHAnsi"/>
          <w:sz w:val="28"/>
          <w:szCs w:val="28"/>
        </w:rPr>
        <w:t>Laisser refroidir les biscuits sur une grille</w:t>
      </w:r>
      <w:r w:rsidR="00FF01D7">
        <w:rPr>
          <w:rFonts w:cstheme="minorHAnsi"/>
          <w:sz w:val="28"/>
          <w:szCs w:val="28"/>
        </w:rPr>
        <w:t xml:space="preserve"> ou une planche à découper</w:t>
      </w:r>
      <w:r w:rsidRPr="00D83858">
        <w:rPr>
          <w:rFonts w:cstheme="minorHAnsi"/>
          <w:sz w:val="28"/>
          <w:szCs w:val="28"/>
        </w:rPr>
        <w:t>.</w:t>
      </w:r>
    </w:p>
    <w:p w14:paraId="7B1C3F0C" w14:textId="0986FA97" w:rsidR="00D83858" w:rsidRPr="000B74EA" w:rsidRDefault="00D83858" w:rsidP="00D83858">
      <w:pPr>
        <w:pStyle w:val="Paragraphedeliste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cstheme="minorHAnsi"/>
          <w:sz w:val="28"/>
          <w:szCs w:val="28"/>
        </w:rPr>
      </w:pPr>
      <w:r w:rsidRPr="000B74EA">
        <w:rPr>
          <w:rFonts w:cstheme="minorHAnsi"/>
          <w:sz w:val="28"/>
          <w:szCs w:val="28"/>
        </w:rPr>
        <w:t>Pour le glaçage :</w:t>
      </w:r>
      <w:r w:rsidR="000B74EA">
        <w:rPr>
          <w:rFonts w:cstheme="minorHAnsi"/>
          <w:sz w:val="28"/>
          <w:szCs w:val="28"/>
        </w:rPr>
        <w:t xml:space="preserve"> f</w:t>
      </w:r>
      <w:r w:rsidRPr="000B74EA">
        <w:rPr>
          <w:rFonts w:cstheme="minorHAnsi"/>
          <w:sz w:val="28"/>
          <w:szCs w:val="28"/>
        </w:rPr>
        <w:t>ouetter le blanc d’</w:t>
      </w:r>
      <w:r w:rsidR="000B74EA" w:rsidRPr="000B74EA">
        <w:rPr>
          <w:rFonts w:cstheme="minorHAnsi"/>
          <w:sz w:val="28"/>
          <w:szCs w:val="28"/>
        </w:rPr>
        <w:t>œuf</w:t>
      </w:r>
      <w:r w:rsidRPr="000B74EA">
        <w:rPr>
          <w:rFonts w:cstheme="minorHAnsi"/>
          <w:sz w:val="28"/>
          <w:szCs w:val="28"/>
        </w:rPr>
        <w:t xml:space="preserve"> en neige et incorporer le sucre glace.</w:t>
      </w:r>
    </w:p>
    <w:p w14:paraId="478DAB07" w14:textId="73C93507" w:rsidR="00D83858" w:rsidRPr="00D83858" w:rsidRDefault="00AD0595" w:rsidP="00D83858">
      <w:pPr>
        <w:pStyle w:val="Paragraphedeliste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cstheme="minorHAnsi"/>
          <w:sz w:val="28"/>
          <w:szCs w:val="28"/>
        </w:rPr>
      </w:pPr>
      <w:r w:rsidRPr="005A5953">
        <w:rPr>
          <w:rFonts w:cstheme="minorHAnsi"/>
          <w:sz w:val="28"/>
          <w:szCs w:val="28"/>
        </w:rPr>
        <w:t xml:space="preserve">Lorsque les sablés ont bien refroidi, tremper le dessus dans le glaçage, laisser le surplus s’écouler (ou l’enlever au pinceau) et le déposer sur une grille ou une planche à découper (côté glaçage sur le dessus). </w:t>
      </w:r>
      <w:r w:rsidR="00753F6B">
        <w:rPr>
          <w:rFonts w:cstheme="minorHAnsi"/>
          <w:sz w:val="28"/>
          <w:szCs w:val="28"/>
        </w:rPr>
        <w:t>E</w:t>
      </w:r>
      <w:r w:rsidR="00D83858" w:rsidRPr="00D83858">
        <w:rPr>
          <w:rFonts w:cstheme="minorHAnsi"/>
          <w:sz w:val="28"/>
          <w:szCs w:val="28"/>
        </w:rPr>
        <w:t>t coller tout de suite après les décorations sur le glaçage encore humide.</w:t>
      </w:r>
      <w:r w:rsidR="00753F6B">
        <w:rPr>
          <w:rFonts w:cstheme="minorHAnsi"/>
          <w:sz w:val="28"/>
          <w:szCs w:val="28"/>
        </w:rPr>
        <w:t xml:space="preserve"> Idéalement il faut être deux, un qui glace et un qui décore</w:t>
      </w:r>
      <w:r w:rsidR="001700EB">
        <w:rPr>
          <w:rFonts w:cstheme="minorHAnsi"/>
          <w:sz w:val="28"/>
          <w:szCs w:val="28"/>
        </w:rPr>
        <w:t> !</w:t>
      </w:r>
      <w:bookmarkStart w:id="0" w:name="_GoBack"/>
      <w:bookmarkEnd w:id="0"/>
    </w:p>
    <w:p w14:paraId="75D8FC65" w14:textId="0D3717D6" w:rsidR="00EC17C6" w:rsidRDefault="00351081" w:rsidP="00EC17C6">
      <w:pPr>
        <w:pStyle w:val="Paragraphedeliste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cstheme="minorHAnsi"/>
          <w:sz w:val="28"/>
          <w:szCs w:val="28"/>
        </w:rPr>
      </w:pPr>
      <w:r w:rsidRPr="005A5953">
        <w:rPr>
          <w:rFonts w:cstheme="minorHAnsi"/>
          <w:sz w:val="28"/>
          <w:szCs w:val="28"/>
        </w:rPr>
        <w:t>Laisser sécher à l’air libre</w:t>
      </w:r>
      <w:r w:rsidR="009F0B10" w:rsidRPr="005A5953">
        <w:rPr>
          <w:rFonts w:cstheme="minorHAnsi"/>
          <w:sz w:val="28"/>
          <w:szCs w:val="28"/>
        </w:rPr>
        <w:t xml:space="preserve"> (au moins une heure) avant de les mettre dans des boîtes ou des sachets. </w:t>
      </w:r>
    </w:p>
    <w:p w14:paraId="2B260CB6" w14:textId="77777777" w:rsidR="00753F6B" w:rsidRPr="00753F6B" w:rsidRDefault="00753F6B" w:rsidP="00753F6B"/>
    <w:sectPr w:rsidR="00753F6B" w:rsidRPr="00753F6B" w:rsidSect="00753F6B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6A71D" w14:textId="77777777" w:rsidR="005A5953" w:rsidRDefault="005A5953" w:rsidP="005A5953">
      <w:pPr>
        <w:spacing w:after="0" w:line="240" w:lineRule="auto"/>
      </w:pPr>
      <w:r>
        <w:separator/>
      </w:r>
    </w:p>
  </w:endnote>
  <w:endnote w:type="continuationSeparator" w:id="0">
    <w:p w14:paraId="45644A58" w14:textId="77777777" w:rsidR="005A5953" w:rsidRDefault="005A5953" w:rsidP="005A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72160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712196" w14:textId="5AD60D58" w:rsidR="00E20397" w:rsidRDefault="00E20397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A2280E6" w14:textId="1687065F" w:rsidR="005A5953" w:rsidRPr="00E20397" w:rsidRDefault="00E20397">
    <w:pPr>
      <w:pStyle w:val="Pieddepage"/>
      <w:rPr>
        <w:rFonts w:ascii="Bradley Hand ITC" w:hAnsi="Bradley Hand ITC"/>
        <w:b/>
        <w:bCs/>
        <w:sz w:val="28"/>
        <w:szCs w:val="28"/>
      </w:rPr>
    </w:pPr>
    <w:r w:rsidRPr="00E20397">
      <w:rPr>
        <w:rFonts w:ascii="Bradley Hand ITC" w:hAnsi="Bradley Hand ITC"/>
        <w:b/>
        <w:bCs/>
        <w:sz w:val="28"/>
        <w:szCs w:val="28"/>
      </w:rPr>
      <w:t xml:space="preserve">Sablés </w:t>
    </w:r>
    <w:r w:rsidR="00753F6B">
      <w:rPr>
        <w:rFonts w:ascii="Bradley Hand ITC" w:hAnsi="Bradley Hand ITC"/>
        <w:b/>
        <w:bCs/>
        <w:sz w:val="28"/>
        <w:szCs w:val="28"/>
      </w:rPr>
      <w:t>aux épices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FE4EA" w14:textId="77777777" w:rsidR="005A5953" w:rsidRDefault="005A5953" w:rsidP="005A5953">
      <w:pPr>
        <w:spacing w:after="0" w:line="240" w:lineRule="auto"/>
      </w:pPr>
      <w:r>
        <w:separator/>
      </w:r>
    </w:p>
  </w:footnote>
  <w:footnote w:type="continuationSeparator" w:id="0">
    <w:p w14:paraId="5C32FDF3" w14:textId="77777777" w:rsidR="005A5953" w:rsidRDefault="005A5953" w:rsidP="005A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9E"/>
    <w:multiLevelType w:val="hybridMultilevel"/>
    <w:tmpl w:val="B3A8B1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00B38"/>
    <w:multiLevelType w:val="hybridMultilevel"/>
    <w:tmpl w:val="41326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41E56"/>
    <w:multiLevelType w:val="hybridMultilevel"/>
    <w:tmpl w:val="0D9A08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C6"/>
    <w:rsid w:val="00094EAF"/>
    <w:rsid w:val="000B74EA"/>
    <w:rsid w:val="000F44E9"/>
    <w:rsid w:val="001700EB"/>
    <w:rsid w:val="001D2A34"/>
    <w:rsid w:val="002832EB"/>
    <w:rsid w:val="00351081"/>
    <w:rsid w:val="003D4A61"/>
    <w:rsid w:val="003F71D2"/>
    <w:rsid w:val="004A096E"/>
    <w:rsid w:val="004F2DD4"/>
    <w:rsid w:val="005A5953"/>
    <w:rsid w:val="005E1723"/>
    <w:rsid w:val="0064229C"/>
    <w:rsid w:val="00720119"/>
    <w:rsid w:val="0074120C"/>
    <w:rsid w:val="00753F6B"/>
    <w:rsid w:val="0079074C"/>
    <w:rsid w:val="00820E6E"/>
    <w:rsid w:val="008A56AF"/>
    <w:rsid w:val="008D59F0"/>
    <w:rsid w:val="009531D6"/>
    <w:rsid w:val="00966CBC"/>
    <w:rsid w:val="009B5250"/>
    <w:rsid w:val="009F0B10"/>
    <w:rsid w:val="00A14586"/>
    <w:rsid w:val="00AC6ED8"/>
    <w:rsid w:val="00AD0595"/>
    <w:rsid w:val="00BA521C"/>
    <w:rsid w:val="00C4275C"/>
    <w:rsid w:val="00D109F3"/>
    <w:rsid w:val="00D83858"/>
    <w:rsid w:val="00E20397"/>
    <w:rsid w:val="00EC17C6"/>
    <w:rsid w:val="00ED6340"/>
    <w:rsid w:val="00F61FD6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EEED"/>
  <w15:chartTrackingRefBased/>
  <w15:docId w15:val="{A41161B2-9549-4E1F-A3AB-CE44EF18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17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953"/>
  </w:style>
  <w:style w:type="paragraph" w:styleId="Pieddepage">
    <w:name w:val="footer"/>
    <w:basedOn w:val="Normal"/>
    <w:link w:val="PieddepageCar"/>
    <w:uiPriority w:val="99"/>
    <w:unhideWhenUsed/>
    <w:rsid w:val="005A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Cathel Tourmente</dc:creator>
  <cp:keywords/>
  <dc:description/>
  <cp:lastModifiedBy>Cathel Tourmente</cp:lastModifiedBy>
  <cp:revision>22</cp:revision>
  <dcterms:created xsi:type="dcterms:W3CDTF">2020-03-16T14:10:00Z</dcterms:created>
  <dcterms:modified xsi:type="dcterms:W3CDTF">2020-03-16T14:37:00Z</dcterms:modified>
</cp:coreProperties>
</file>